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ahmenleasingvereinbarung zur Umsetzung des Dienstradleasings für die Beschäftigten der Hanse- und Universitätsstadt Rostoc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8/30/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bschluss einer Rahmenleasingvereinbarung zur Umsetzung des Dienstradleasings für die Beschäftigten der Hanse- und Universitätsstadt Rostoc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